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/>
          <w:bCs/>
          <w:sz w:val="40"/>
          <w:szCs w:val="40"/>
          <w:lang w:val="ro-MD"/>
        </w:rPr>
      </w:pPr>
      <w:r>
        <w:rPr>
          <w:rFonts w:cs="Times New Roman" w:ascii="Times New Roman" w:hAnsi="Times New Roman"/>
          <w:b/>
          <w:bCs/>
          <w:sz w:val="40"/>
          <w:szCs w:val="40"/>
          <w:lang w:val="ro-MD"/>
        </w:rPr>
        <w:t>List of examination questions for the course PROSTHODONTIC TREATMENT OF PERIODONTAL DISEASES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Periodontium and its structure. Functions of the periodontium. Description.</w:t>
      </w: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Possible complications of prosthodontic treatment of tooth migration.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Clinical forms. Variants. Classifications of pathological tooth wear.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Etiology and pathogenesis of periodontal diseases.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Clinical features of horizontal tooth migration.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lang w:val="ro-RO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Extraoral and intraoral signs of pathological wear of hard dental tissues, depending on the clinical form (variant).</w:t>
      </w:r>
      <w:r>
        <w:rPr>
          <w:rFonts w:cs="Times New Roman" w:ascii="Times New Roman" w:hAnsi="Times New Roman"/>
          <w:sz w:val="24"/>
          <w:szCs w:val="24"/>
          <w:lang w:val="ro-RO"/>
        </w:rPr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Clinical features of localized chronic periodontitis and generalized chronic periodontitis.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Etiology of tooth migration.</w:t>
      </w:r>
      <w:r>
        <w:rPr>
          <w:rFonts w:cs="Times New Roman" w:ascii="Times New Roman" w:hAnsi="Times New Roman"/>
          <w:sz w:val="24"/>
          <w:szCs w:val="24"/>
          <w:lang w:val="ro-MD"/>
        </w:rPr>
      </w:r>
      <w:r>
        <w:rPr>
          <w:rFonts w:cs="Times New Roman" w:ascii="Times New Roman" w:hAnsi="Times New Roman"/>
          <w:sz w:val="24"/>
          <w:szCs w:val="24"/>
          <w:lang w:val="ru-RU"/>
        </w:rPr>
      </w:r>
      <w:r>
        <w:rPr>
          <w:rFonts w:cs="Times New Roman" w:ascii="Times New Roman" w:hAnsi="Times New Roman"/>
          <w:sz w:val="24"/>
          <w:szCs w:val="24"/>
          <w:lang w:val="ro-MD"/>
        </w:rPr>
      </w: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Prosthodontic treatment in cases of galvanosis.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Classification of periodontal diseases.</w:t>
      </w:r>
      <w:r>
        <w:rPr>
          <w:rFonts w:cs="Times New Roman" w:ascii="Times New Roman" w:hAnsi="Times New Roman"/>
          <w:sz w:val="24"/>
          <w:szCs w:val="24"/>
          <w:lang w:val="ro-MD"/>
        </w:rPr>
      </w: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Treatment methods according to the degree of horizontal tooth migration, based on Costa and Ene.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Clinical features of the compensated form of generalized pathological wear of hard dental tissues.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Clinical and paraclinical examination methods for periodontal diseases.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Determination of the degree of vertical tooth migration by cephalometric radiography.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Clinical features of pathological wear of hard dental tissues depending on the clinical form (variant).</w:t>
      </w:r>
      <w:r>
        <w:rPr>
          <w:rFonts w:cs="Times New Roman" w:ascii="Times New Roman" w:hAnsi="Times New Roman"/>
          <w:sz w:val="24"/>
          <w:szCs w:val="24"/>
          <w:lang w:val="ro-RO"/>
        </w:rPr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Differential diagnosis of periodontal diseases. Concept of periodontal reserve forces.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Locoregional complications of pathological wear of hard dental tissues depending on the clinical form (variant).</w:t>
      </w:r>
      <w:r>
        <w:rPr>
          <w:rFonts w:cs="Times New Roman" w:ascii="Times New Roman" w:hAnsi="Times New Roman"/>
          <w:sz w:val="24"/>
          <w:szCs w:val="24"/>
          <w:lang w:val="ro-RO"/>
        </w:rPr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Galvanosis. Etiology.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</w:rPr>
        <w:t>Types of traumatic occlusion. Examples. Dentio-occlusal complications in periodontal diseases.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</w:rPr>
        <w:t>Tooth migration. Six-year molar syndrome.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</w:rPr>
        <w:t>Prosthodontic treatment of the decompensated form of generalized pathological wear of hard dental tissues.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Methods of treatment of periodontal diseases. Indications and contraindications. Rationale.</w:t>
      </w:r>
      <w:r>
        <w:rPr>
          <w:rFonts w:cs="Times New Roman" w:ascii="Times New Roman" w:hAnsi="Times New Roman"/>
          <w:sz w:val="24"/>
          <w:szCs w:val="24"/>
          <w:lang w:val="ru-RU"/>
        </w:rPr>
      </w:r>
      <w:r>
        <w:rPr>
          <w:rFonts w:cs="Times New Roman" w:ascii="Times New Roman" w:hAnsi="Times New Roman"/>
          <w:sz w:val="24"/>
          <w:szCs w:val="24"/>
          <w:lang w:val="ro-MD"/>
        </w:rPr>
      </w: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Methods for determining the degree of horizontal tooth migration.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Clinical features of the decompensated form of generalized pathological wear of hard dental tissues.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Selective tooth grinding. Indications and contraindications.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Pathogenesis of tooth migration according to Abrikosov, Katz, and Kalvelis.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Local complications of generalized pathological wear of hard dental tissues.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Selective tooth grinding. General principles of the selective grinding technique. Instruments used for selective tooth grinding.</w:t>
      </w:r>
      <w:r>
        <w:rPr>
          <w:rFonts w:cs="Times New Roman" w:ascii="Times New Roman" w:hAnsi="Times New Roman"/>
          <w:sz w:val="24"/>
          <w:szCs w:val="24"/>
          <w:lang w:val="ru-RU"/>
        </w:rPr>
      </w:r>
      <w:r>
        <w:rPr>
          <w:rFonts w:cs="Times New Roman" w:ascii="Times New Roman" w:hAnsi="Times New Roman"/>
          <w:sz w:val="24"/>
          <w:szCs w:val="24"/>
          <w:lang w:val="ro-MD"/>
        </w:rPr>
      </w: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Clinical features of vertical tooth migration.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Factorii etiologici a stomatitei toxice la purtătorii de proteze dentare  metalice.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Jankelson's method of selective tooth grinding.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Thielemann phenomenon in tooth migration. Description.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Particularities of interdisciplinary dental treatment (orthodontic, surgical, direct restorative) of pathological tooth wear, depending on the clinical form.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Ramfjord's method of selective tooth grinding.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Particularities of interdisciplinary orthodontic-prosthodontic treatment in cases of tooth migration. Indications. Methods.</w:t>
      </w:r>
      <w:r>
        <w:rPr>
          <w:rFonts w:cs="Times New Roman" w:ascii="Times New Roman" w:hAnsi="Times New Roman"/>
          <w:sz w:val="24"/>
          <w:szCs w:val="24"/>
          <w:lang w:val="ro-RO"/>
        </w:rPr>
      </w: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Clinical signs of galvanosis.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Kalamkarov and Schuyler's method of selective tooth grinding.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Reduced occlusion. Etiology and pathogenesis. Clinical features. Classification according to Bușan.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Clinical features of toxic stomatitis caused by acrylic dental prostheses.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Particularities of selective tooth grinding according to V. Burlui.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Local complications of pathological wear of hard dental tissues depending on the clinical form (variant).</w:t>
      </w:r>
      <w:r>
        <w:rPr>
          <w:rFonts w:cs="Times New Roman" w:ascii="Times New Roman" w:hAnsi="Times New Roman"/>
          <w:sz w:val="24"/>
          <w:szCs w:val="24"/>
          <w:lang w:val="ro-RO"/>
        </w:rPr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Clinical features of toxic stomatitis caused by dental prostheses.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Orthodontic repositioning in the comprehensive treatment of periodontal diseases.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Particularities of interdisciplinary dental treatment of pathological tooth wear.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Specialized treatment of toxic stomatitis caused by dental prostheses.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Types of orthodontic appliances used in the treatment of periodontal diseases.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ro-RO"/>
        </w:rPr>
        <w:t>Classifications of pathological tooth wear.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Galvanosis. Etiology.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Particularitățile tratamentului interdisciplinar ortodonto-protetic în caz de migrări dentare. 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Pathogenesis of galvanosis.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cs="Times New Roman" w:ascii="Times New Roman" w:hAnsi="Times New Roman"/>
          <w:sz w:val="24"/>
          <w:szCs w:val="24"/>
        </w:rPr>
        <w:t>Indications and contraindications for orthodontic treatment of periodontal diseases.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Types of dental stabilization in periodontal diseases. Principles and purpose of tooth splinting in the comprehensive treatment of periodontal diseases.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Etiological factors of toxic stomatitis in patients wearing acrylic dental prostheses.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cs="Times New Roman" w:ascii="Times New Roman" w:hAnsi="Times New Roman"/>
          <w:sz w:val="24"/>
          <w:szCs w:val="24"/>
          <w:lang w:val="ro-RO"/>
        </w:rPr>
        <w:t>Clinical and paraclinical examination methods in pathological tooth wear.</w:t>
      </w:r>
      <w:r>
        <w:rPr>
          <w:rFonts w:cs="Times New Roman" w:ascii="Times New Roman" w:hAnsi="Times New Roman"/>
          <w:sz w:val="24"/>
          <w:szCs w:val="24"/>
          <w:lang w:val="en-US"/>
        </w:rPr>
      </w:r>
      <w:r>
        <w:rPr>
          <w:rFonts w:cs="Times New Roman" w:ascii="Times New Roman" w:hAnsi="Times New Roman"/>
          <w:sz w:val="24"/>
          <w:szCs w:val="24"/>
          <w:lang w:val="ro-RO"/>
        </w:rPr>
      </w:r>
      <w:r>
        <w:rPr>
          <w:rFonts w:cs="Times New Roman" w:ascii="Times New Roman" w:hAnsi="Times New Roman"/>
          <w:sz w:val="24"/>
          <w:szCs w:val="24"/>
          <w:lang w:val="ro-RO"/>
        </w:rPr>
      </w: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Classification of splints used in the treatment of periodontal diseases. Requirements for splints. Purpose and duration of splint application.</w:t>
      </w:r>
      <w:r>
        <w:rPr>
          <w:rFonts w:cs="Times New Roman" w:ascii="Times New Roman" w:hAnsi="Times New Roman"/>
          <w:sz w:val="24"/>
          <w:szCs w:val="24"/>
          <w:lang w:val="ru-RU"/>
        </w:rPr>
      </w:r>
      <w:r>
        <w:rPr>
          <w:rFonts w:cs="Times New Roman" w:ascii="Times New Roman" w:hAnsi="Times New Roman"/>
          <w:sz w:val="24"/>
          <w:szCs w:val="24"/>
          <w:lang w:val="ro-MD"/>
        </w:rPr>
      </w:r>
      <w:r>
        <w:rPr>
          <w:rFonts w:cs="Times New Roman" w:ascii="Times New Roman" w:hAnsi="Times New Roman"/>
          <w:sz w:val="24"/>
          <w:szCs w:val="24"/>
          <w:lang w:val="ru-RU"/>
        </w:rPr>
      </w:r>
      <w:r>
        <w:rPr>
          <w:rFonts w:cs="Times New Roman" w:ascii="Times New Roman" w:hAnsi="Times New Roman"/>
          <w:sz w:val="24"/>
          <w:szCs w:val="24"/>
          <w:lang w:val="ro-MD"/>
        </w:rPr>
      </w: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Characteristics of edentulous spaces according to Prelipceanu and Doroga from the perspective of tooth migration.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Local complications of generalized pathological wear of hard dental tissues.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Purpose of temporary splinting. Duration of temporary splint application. Ceiszynki splint and Novotny splint. Description.</w:t>
      </w: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Diagnosis of tooth migration. Methods.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Etiology of generalized pathological wear of hard dental tissues.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Concept of immediate and delayed prosthodontic treatment in periodontal diseases. Advantages and disadvantages of immediate prostheses.</w:t>
      </w: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Prosthodontic treatment of reduced occlusion depending on the clinical form.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Pathogenesis of generalized pathological wear of hard dental tissues.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Immediate prostheses in the treatment of periodontal diseases. Types. Indications for immediate prosthodontic treatment.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Paraclinical examination methods for patients with tooth migration.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Clinical features of generalized pathological wear of hard dental tissues depending on the clinical form.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Methods of immediate prosthodontic treatment. Materials used for fabrication of immediate prostheses.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Classification of tooth migration according to Gavrilov and Cojocaru.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Locoregional complications of generalized pathological wear of hard dental tissues.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Clinical and laboratory stages in the fabrication of immediate fixed prostheses. Advantages and disadvantages.</w:t>
      </w: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Extraoral and intraoral signs of generalized pathological wear of hard dental tissues.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Specialized treatment of toxic stomatitis caused by metal dental prostheses.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Clinical and laboratory stages in the fabrication of immediate removable prostheses. Advantages and disadvantages. Try-in and insertion of immediate prostheses.</w:t>
      </w:r>
      <w:r>
        <w:rPr>
          <w:rFonts w:cs="Times New Roman" w:ascii="Times New Roman" w:hAnsi="Times New Roman"/>
          <w:sz w:val="24"/>
          <w:szCs w:val="24"/>
          <w:lang w:val="ru-RU"/>
        </w:rPr>
      </w:r>
      <w:r>
        <w:rPr>
          <w:rFonts w:cs="Times New Roman" w:ascii="Times New Roman" w:hAnsi="Times New Roman"/>
          <w:sz w:val="24"/>
          <w:szCs w:val="24"/>
          <w:lang w:val="ro-MD"/>
        </w:rPr>
      </w: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Pathogenesis of tooth migration according to Kurleandski, Kriștab, and Dovbenco.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Specialized treatment of toxic stomatitis caused by acrylic dental prostheses.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Classification of splints used in periodontal disease and requirements for splints. Determination of the need for and duration of splinting.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Types of tooth migration according to Ilina-Marcosean and Ponomareova.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Clinical features of the decompensated form of generalized pathological wear of hard dental tissues.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Criteria for including teeth in a splint as part of the comprehensive treatment of periodontal disease.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Purpose of prosthodontic treatment in patients with tooth migration.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Pharmacological treatment of generalized pathological wear of hard dental tissues.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Particularities of permanent splinting in intact dental arches in the treatment of periodontal disease.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Particularities of prosthodontic treatment in cases of horizontal migration (convergence, divergence) of residual roots.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Tratamentul protetic al ocluziei reduse în dependenţă de forma clinică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Particularities of fabricating fixed splints used in the treatment of periodontal disease in cases of edentulous spaces.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Tratamentul protetic a abraziunii patologice generalizate a țesuturilor dentare </w:t>
        <w:tab/>
        <w:t>dure forma decompensată.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Particularități de examen clinic, paraclinic și de diagnostic în abraziunea patologică.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Particularities of fabricating removable splints in cases of edentulous spaces. Characteristics and use of the Elbrecht and Mamloc splints.</w:t>
      </w: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Clinical features of vertical tooth migration.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Prosthodontic treatment of the decompensated form of generalized pathological wear of hard dental tissues.</w:t>
      </w:r>
    </w:p>
    <w:p>
      <w:pPr>
        <w:pStyle w:val="ListParagraph"/>
        <w:spacing w:lineRule="auto" w:line="360" w:before="0" w:after="1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94e0a"/>
    <w:pPr>
      <w:widowControl/>
      <w:bidi w:val="0"/>
      <w:spacing w:lineRule="auto" w:line="254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o-RO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1z0">
    <w:name w:val="WW8Num11z0"/>
    <w:qFormat/>
    <w:rPr>
      <w:sz w:val="28"/>
      <w:szCs w:val="28"/>
      <w:lang w:val="ro-RO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94e0a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5">
    <w:name w:val="WW8Num5"/>
    <w:qFormat/>
  </w:style>
  <w:style w:type="numbering" w:styleId="WW8Num11">
    <w:name w:val="WW8Num11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Trio_Office/6.2.8.2$Windows_x86 LibreOffice_project/</Application>
  <Pages>5</Pages>
  <Words>977</Words>
  <Characters>6988</Characters>
  <CharactersWithSpaces>7809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2025-12-05T13:56:00Z</dcterms:created>
  <dc:creator>Пользователь</dc:creator>
  <dc:description/>
  <dc:language>ru-RU</dc:language>
  <cp:lastModifiedBy/>
  <dcterms:modified xsi:type="dcterms:W3CDTF">2026-09-12T15:01:01Z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