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DDA3" w14:textId="07C5892D" w:rsidR="00086D5B" w:rsidRDefault="00086D5B"/>
    <w:p w14:paraId="36CA96A6" w14:textId="72C89D28" w:rsidR="00086D5B" w:rsidRPr="00A213DD" w:rsidRDefault="00000000">
      <w:pPr>
        <w:jc w:val="both"/>
        <w:rPr>
          <w:rFonts w:ascii="Times New Roman" w:hAnsi="Times New Roman"/>
          <w:b/>
          <w:i/>
          <w:lang w:val="en-US"/>
        </w:rPr>
      </w:pPr>
      <w:r w:rsidRPr="00A213DD">
        <w:rPr>
          <w:rFonts w:ascii="Times New Roman" w:hAnsi="Times New Roman"/>
          <w:b/>
          <w:i/>
          <w:sz w:val="24"/>
          <w:szCs w:val="24"/>
          <w:lang w:val="en-US"/>
        </w:rPr>
        <w:t>Faculty of Dentistry, Specialty</w:t>
      </w:r>
      <w:r w:rsidR="00A213DD" w:rsidRPr="00A213D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A213DD">
        <w:rPr>
          <w:rFonts w:ascii="Times New Roman" w:hAnsi="Times New Roman"/>
          <w:b/>
          <w:i/>
          <w:lang w:val="en-US"/>
        </w:rPr>
        <w:t>Dentistry</w:t>
      </w:r>
    </w:p>
    <w:tbl>
      <w:tblPr>
        <w:tblW w:w="10987" w:type="dxa"/>
        <w:jc w:val="center"/>
        <w:tblLayout w:type="fixed"/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69"/>
      </w:tblGrid>
      <w:tr w:rsidR="00086D5B" w:rsidRPr="00A213DD" w14:paraId="2E728DB8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022F61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 of the discipline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643F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PROSTHETIC TREATMENT OF PERIODONTAL DISEASES</w:t>
            </w:r>
          </w:p>
        </w:tc>
      </w:tr>
      <w:tr w:rsidR="00086D5B" w14:paraId="5054FF38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499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99BC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compulsory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875A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8187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6D5B" w14:paraId="44F93819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5D4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Year of study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D1BB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B2FF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C617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</w:tr>
      <w:tr w:rsidR="00086D5B" w14:paraId="052752CF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E575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331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course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A8E6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6131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laboratory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3BEB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24</w:t>
            </w:r>
          </w:p>
        </w:tc>
      </w:tr>
      <w:tr w:rsidR="00086D5B" w14:paraId="0DC98FEC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7A9" w14:textId="77777777" w:rsidR="00086D5B" w:rsidRDefault="00086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B88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SEMINARS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11C8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E32C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Individual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work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EDB2" w14:textId="77777777" w:rsidR="00086D5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48</w:t>
            </w:r>
          </w:p>
        </w:tc>
      </w:tr>
      <w:tr w:rsidR="00086D5B" w14:paraId="750BF6F1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0470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compound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FCE6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Specialized</w:t>
            </w:r>
            <w:proofErr w:type="spellEnd"/>
          </w:p>
        </w:tc>
      </w:tr>
      <w:tr w:rsidR="00086D5B" w:rsidRPr="00A213DD" w14:paraId="7F482B95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7143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holder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FEF8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Solomon Oleg,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Gututui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Vasile,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>Cojuhari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ro-RO" w:eastAsia="ru-RU"/>
              </w:rPr>
              <w:t xml:space="preserve"> Nicolai</w:t>
            </w:r>
          </w:p>
        </w:tc>
      </w:tr>
      <w:tr w:rsidR="00086D5B" w:rsidRPr="00A213DD" w14:paraId="389E6305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BE0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location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86E3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Chisinau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Toma Ciorba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street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42, 1st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floor</w:t>
            </w:r>
            <w:proofErr w:type="spellEnd"/>
          </w:p>
        </w:tc>
      </w:tr>
      <w:tr w:rsidR="00086D5B" w:rsidRPr="00A213DD" w14:paraId="055EC1B3" w14:textId="77777777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8545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Prerequisites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requirements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795D" w14:textId="77777777" w:rsidR="00086D5B" w:rsidRDefault="00000000">
            <w:pPr>
              <w:pStyle w:val="a9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Program: basic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related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disciplines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such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as: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propaedeutics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biomaterials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anatomy</w:t>
            </w:r>
            <w:proofErr w:type="spellEnd"/>
          </w:p>
        </w:tc>
      </w:tr>
      <w:tr w:rsidR="00086D5B" w:rsidRPr="00A213DD" w14:paraId="1B0CCD0B" w14:textId="77777777">
        <w:trPr>
          <w:jc w:val="center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C7F" w14:textId="77777777" w:rsidR="00086D5B" w:rsidRDefault="00086D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4E05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: basic digital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internet, document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word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processors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spreadsheets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presentation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applications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communication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teamwork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skills</w:t>
            </w:r>
            <w:proofErr w:type="spellEnd"/>
            <w:r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.</w:t>
            </w:r>
          </w:p>
        </w:tc>
      </w:tr>
      <w:tr w:rsidR="00086D5B" w:rsidRPr="00A213DD" w14:paraId="6FDAE47F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22CD74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discipline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BD4C" w14:textId="77777777" w:rsidR="00086D5B" w:rsidRDefault="00000000">
            <w:pPr>
              <w:widowControl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training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capable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successfully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rehabilitating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dental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studying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dentistry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necessary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objectivity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because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prosthodontist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regardless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position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occupies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will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encounter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various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diseases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stomatognathic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system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therapy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which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can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only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be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performed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through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orthopedic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interventions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>.</w:t>
            </w:r>
          </w:p>
        </w:tc>
      </w:tr>
      <w:tr w:rsidR="00086D5B" w:rsidRPr="00A213DD" w14:paraId="3D802DDB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ED0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The topic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presented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303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Morphological aspects of the periodontium. Etiology and pathogenesis of periodontal diseases. Clinical picture.</w:t>
            </w:r>
          </w:p>
          <w:p w14:paraId="08866E94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Methods of treatment of periodontal diseases. Selective polishing.</w:t>
            </w:r>
          </w:p>
          <w:p w14:paraId="284CD7FE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Orthodontic straightening in the complex treatment of periodontal diseases.</w:t>
            </w:r>
          </w:p>
          <w:p w14:paraId="2706F5E7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Immediate prosthetics in the complex treatment of periodontal diseases.</w:t>
            </w:r>
          </w:p>
          <w:p w14:paraId="51147576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Permanent splinting in the complex treatment of periodontal diseases.</w:t>
            </w:r>
          </w:p>
          <w:p w14:paraId="18EB01D7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Etiology, pathogenesis, clinical picture and diagnosis of tooth migration.</w:t>
            </w:r>
          </w:p>
          <w:p w14:paraId="0AB26402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Treatment methods for tooth migration.</w:t>
            </w:r>
          </w:p>
          <w:p w14:paraId="78B35E77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Prosthetic treatment of patients with tooth migration.</w:t>
            </w:r>
          </w:p>
          <w:p w14:paraId="143BEED9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Etiopathogenesis, clinical picture, diagnosis and treatment of pathological abrasion</w:t>
            </w:r>
          </w:p>
          <w:p w14:paraId="5A46B8CC" w14:textId="77777777" w:rsidR="00086D5B" w:rsidRPr="00A213DD" w:rsidRDefault="00000000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Etiopathogenesis, clinical picture, diagnosis and treatment of dysfunctional syndrome</w:t>
            </w:r>
          </w:p>
          <w:p w14:paraId="662C4C43" w14:textId="77777777" w:rsidR="00086D5B" w:rsidRPr="00A213DD" w:rsidRDefault="00000000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Diseases caused by materials used in the manufacture of dental prostheses. </w:t>
            </w:r>
            <w:proofErr w:type="spellStart"/>
            <w:r>
              <w:rPr>
                <w:rFonts w:ascii="Times New Roman" w:hAnsi="Times New Roman"/>
                <w:lang w:val="en-US"/>
              </w:rPr>
              <w:t>Galvanosis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Stomatitis </w:t>
            </w:r>
            <w:proofErr w:type="gramStart"/>
            <w:r>
              <w:rPr>
                <w:rFonts w:ascii="Times New Roman" w:hAnsi="Times New Roman"/>
                <w:lang w:val="en-US"/>
              </w:rPr>
              <w:t>caused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by metal and acrylic dental prostheses.</w:t>
            </w:r>
          </w:p>
          <w:p w14:paraId="4C76A498" w14:textId="77777777" w:rsidR="00086D5B" w:rsidRDefault="0000000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Diseases caused by materials used in the manufacture of dentures. Allergic stomatitis.</w:t>
            </w:r>
          </w:p>
          <w:p w14:paraId="7E953787" w14:textId="77777777" w:rsidR="00086D5B" w:rsidRDefault="00000000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Particularities of prosthetic treatment in case of chronic mucosal diseases.</w:t>
            </w:r>
          </w:p>
        </w:tc>
      </w:tr>
      <w:tr w:rsidR="00086D5B" w14:paraId="7990B36C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6BEF1D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purposes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3375" w14:textId="77777777" w:rsidR="00086D5B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Identifying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using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concepts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professional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activities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5ADFD629" w14:textId="77777777" w:rsidR="00086D5B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understanding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operation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theoretical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basic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methods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5827C7BF" w14:textId="77777777" w:rsidR="00086D5B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Thorough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relationship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taking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account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person's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character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specifics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patient's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experiences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doctors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order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ensure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prosthetic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compliance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  <w:p w14:paraId="0926D6F6" w14:textId="77777777" w:rsidR="00086D5B" w:rsidRPr="00A213DD" w:rsidRDefault="00000000">
            <w:pPr>
              <w:spacing w:after="0" w:line="240" w:lineRule="auto"/>
              <w:ind w:right="157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Completing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medical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records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performing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developing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indications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type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appropriate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their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justification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Determining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options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establishing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diagnosis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treatment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plan.</w:t>
            </w:r>
          </w:p>
          <w:p w14:paraId="32115669" w14:textId="77777777" w:rsidR="00086D5B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lastRenderedPageBreak/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simulation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with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pathologies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oro-maxillofacial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area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data</w:t>
            </w:r>
          </w:p>
          <w:p w14:paraId="5E2CD914" w14:textId="77777777" w:rsidR="00086D5B" w:rsidRDefault="00000000">
            <w:pPr>
              <w:spacing w:after="0" w:line="240" w:lineRule="auto"/>
              <w:ind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ab/>
              <w:t xml:space="preserve">Demonstrate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apply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knowledge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acquired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paraclinical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Promote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principles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tolerance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compassion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towards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patients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  <w:t>.</w:t>
            </w:r>
          </w:p>
        </w:tc>
      </w:tr>
      <w:tr w:rsidR="00086D5B" w:rsidRPr="00A213DD" w14:paraId="1ED8D409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A4C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Purchased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skills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D63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Patient examination, diagnosis and treatment plan.</w:t>
            </w:r>
          </w:p>
          <w:p w14:paraId="6C73D864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Determining the type of </w:t>
            </w:r>
            <w:proofErr w:type="gram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occlusion</w:t>
            </w:r>
            <w:proofErr w:type="gramEnd"/>
          </w:p>
          <w:p w14:paraId="334174D5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Paraclinical examination of the patient</w:t>
            </w:r>
          </w:p>
          <w:p w14:paraId="712BD6A2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 xml:space="preserve">Examination of the patient's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dento</w:t>
            </w:r>
            <w:proofErr w:type="spellEnd"/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-periodontal support</w:t>
            </w:r>
          </w:p>
          <w:p w14:paraId="39D5FB17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a two-piece dental crown/bridge</w:t>
            </w:r>
          </w:p>
          <w:p w14:paraId="610E6D1B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impression material from the alginate group.</w:t>
            </w:r>
          </w:p>
          <w:p w14:paraId="017C9727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Anatomical impression of the prosthetic field with elastic material (with student-to-student impression taking in the absence of patients)</w:t>
            </w:r>
          </w:p>
          <w:p w14:paraId="23BF6DB0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Trial of dental crown/bridges in the oral cavity.</w:t>
            </w:r>
          </w:p>
          <w:p w14:paraId="01DFCD76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Preparation of abutment teeth for the fabrication of physiognomic dental crowns/bridges</w:t>
            </w:r>
          </w:p>
          <w:p w14:paraId="01D9E2A7" w14:textId="77777777" w:rsidR="00086D5B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en-US"/>
              </w:rPr>
              <w:t>Impression of the prosthetic field when making physiognomic dental crowns/bridges</w:t>
            </w:r>
          </w:p>
        </w:tc>
      </w:tr>
      <w:tr w:rsidR="00086D5B" w14:paraId="5F3EDBF8" w14:textId="77777777">
        <w:trPr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4B284D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A62" w14:textId="77777777" w:rsidR="00086D5B" w:rsidRDefault="0000000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Exam</w:t>
            </w:r>
            <w:proofErr w:type="spellEnd"/>
          </w:p>
        </w:tc>
      </w:tr>
    </w:tbl>
    <w:p w14:paraId="0989A60B" w14:textId="77777777" w:rsidR="00086D5B" w:rsidRDefault="00086D5B">
      <w:pPr>
        <w:spacing w:after="0" w:line="240" w:lineRule="auto"/>
        <w:rPr>
          <w:rFonts w:ascii="Times New Roman" w:hAnsi="Times New Roman"/>
          <w:sz w:val="2"/>
          <w:szCs w:val="2"/>
          <w:lang w:val="ro-RO"/>
        </w:rPr>
      </w:pPr>
    </w:p>
    <w:sectPr w:rsidR="00086D5B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5B"/>
    <w:rsid w:val="00086D5B"/>
    <w:rsid w:val="00A213DD"/>
    <w:rsid w:val="00A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1C92"/>
  <w15:docId w15:val="{117EE2AD-CE16-4EC0-B818-ED5ABAE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MD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Arial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alibri" w:eastAsia="Calibri" w:hAnsi="Calibri" w:cs="Calibri"/>
      <w:i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18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hAnsi="Arial" w:cs="Aria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4">
    <w:name w:val="Hyperlink"/>
    <w:rPr>
      <w:strike w:val="0"/>
      <w:dstrike w:val="0"/>
      <w:color w:val="0000FF"/>
      <w:u w:val="non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8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1Char">
    <w:name w:val="z1 Char"/>
    <w:basedOn w:val="a"/>
    <w:qFormat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color w:val="000000"/>
      <w:lang w:val="ru-RU"/>
    </w:rPr>
  </w:style>
  <w:style w:type="paragraph" w:customStyle="1" w:styleId="yiv9959230478msonormal">
    <w:name w:val="yiv9959230478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 зуев</cp:lastModifiedBy>
  <cp:revision>3</cp:revision>
  <dcterms:created xsi:type="dcterms:W3CDTF">2025-03-16T09:37:00Z</dcterms:created>
  <dcterms:modified xsi:type="dcterms:W3CDTF">2025-03-16T09:37:00Z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2025-03-16T09:09:00Z</dcterms:created>
  <dc:creator>Пользователь Windows</dc:creator>
  <dc:description/>
  <cp:keywords> </cp:keywords>
  <dc:language>en-US</dc:language>
  <cp:lastModifiedBy>вячеслав зуев</cp:lastModifiedBy>
  <cp:lastPrinted>2021-04-05T15:21:00Z</cp:lastPrinted>
  <dcterms:modified xsi:type="dcterms:W3CDTF">2025-03-16T09:09:00Z</dcterms:modified>
  <cp:revision>2</cp:revision>
  <dc:subject/>
  <dc:title/>
</cp:coreProperties>
</file>